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8" w:lineRule="exact"/>
        <w:jc w:val="center"/>
        <w:rPr>
          <w:rFonts w:ascii="黑体" w:hAnsi="黑体" w:eastAsia="黑体" w:cs="黑体"/>
          <w:sz w:val="44"/>
          <w:szCs w:val="44"/>
        </w:rPr>
      </w:pPr>
      <w:r>
        <w:rPr>
          <w:rFonts w:hint="eastAsia" w:ascii="黑体" w:hAnsi="黑体" w:eastAsia="黑体" w:cs="黑体"/>
          <w:kern w:val="2"/>
          <w:sz w:val="44"/>
          <w:szCs w:val="44"/>
          <w:lang w:val="en-US" w:eastAsia="zh-CN" w:bidi="ar-SA"/>
        </w:rPr>
        <w:pict>
          <v:rect id="文本框 1" o:spid="_x0000_s1026" style="position:absolute;left:0;margin-left:-24.5pt;margin-top:-12.9pt;height:40.65pt;width:117.5pt;rotation:0f;z-index:251658240;" o:ole="f" fillcolor="#FFFFFF" filled="t" o:preferrelative="t" stroked="f" coordsize="21600,21600">
            <v:imagedata gain="65536f" blacklevel="0f" gamma="0"/>
            <o:lock v:ext="edit" position="f" selection="f" grouping="f" rotation="f" cropping="f" text="f"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rect>
        </w:pict>
      </w:r>
    </w:p>
    <w:p>
      <w:pPr>
        <w:spacing w:line="578" w:lineRule="exact"/>
        <w:jc w:val="center"/>
        <w:rPr>
          <w:rFonts w:ascii="黑体" w:hAnsi="黑体" w:eastAsia="黑体" w:cs="黑体"/>
          <w:sz w:val="44"/>
          <w:szCs w:val="44"/>
        </w:rPr>
      </w:pPr>
      <w:r>
        <w:rPr>
          <w:rFonts w:hint="eastAsia" w:ascii="黑体" w:hAnsi="黑体" w:eastAsia="黑体" w:cs="黑体"/>
          <w:sz w:val="44"/>
          <w:szCs w:val="44"/>
        </w:rPr>
        <w:t>泸县司法局</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2"/>
      </w:pP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按照县财政局</w:t>
      </w:r>
      <w:r>
        <w:rPr>
          <w:rFonts w:hint="eastAsia" w:ascii="Times New Roman" w:hAnsi="Times New Roman" w:eastAsia="仿宋_GB2312"/>
          <w:color w:val="000000"/>
          <w:sz w:val="32"/>
          <w:szCs w:val="32"/>
        </w:rPr>
        <w:t>关于开展202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年度县级财政资金绩效运行监控</w:t>
      </w:r>
      <w:r>
        <w:rPr>
          <w:rFonts w:ascii="Times New Roman" w:hAnsi="Times New Roman" w:eastAsia="仿宋_GB2312" w:cs="Times New Roman"/>
          <w:color w:val="000000"/>
          <w:sz w:val="32"/>
          <w:szCs w:val="32"/>
        </w:rPr>
        <w:t>工作</w:t>
      </w:r>
      <w:r>
        <w:rPr>
          <w:rFonts w:hint="eastAsia" w:ascii="Times New Roman" w:hAnsi="Times New Roman" w:eastAsia="仿宋_GB2312"/>
          <w:color w:val="000000"/>
          <w:sz w:val="32"/>
          <w:szCs w:val="32"/>
        </w:rPr>
        <w:t>的通知</w:t>
      </w:r>
      <w:r>
        <w:rPr>
          <w:rFonts w:ascii="Times New Roman" w:hAnsi="Times New Roman" w:eastAsia="仿宋_GB2312"/>
          <w:color w:val="000000"/>
          <w:sz w:val="32"/>
          <w:szCs w:val="32"/>
        </w:rPr>
        <w:t>文件的</w:t>
      </w:r>
      <w:r>
        <w:rPr>
          <w:rFonts w:ascii="Times New Roman" w:hAnsi="Times New Roman" w:eastAsia="仿宋_GB2312" w:cs="Times New Roman"/>
          <w:color w:val="000000"/>
          <w:sz w:val="32"/>
          <w:szCs w:val="32"/>
        </w:rPr>
        <w:t>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1.贯彻执行国家、省、市关于司法行政工作的方针、政策和法律法规及规章，拟定司法行政规范性文件，编制司法行政工作中长期发展规划和年度计划，并监督实施。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2.制定全县法制宣传教育和普法、依法治理工作规划，并组织实施、指导乡镇和县级各部门、行业的依法治理。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3.指导监督律师、公证、法律顾问、法律援助、外商台商投诉工作。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4.指导管理司法所、指导监督基层法律服务工作。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5.指导刑满释放人员、解除劳教人员的安置帮教工作。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6.指导本系统依法行政工作，指导管理司法鉴定工作。指导司法行政系统党的建设、队伍建设和思想政治工作，负责本系统人事和干警培训工作。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7.指导和管理全县司法行政系统的计划、财务、车辆、服装等物资装备工作。负责机关行政事务、系统内部审计工作。 </w:t>
      </w:r>
    </w:p>
    <w:p>
      <w:pPr>
        <w:pStyle w:val="2"/>
        <w:ind w:firstLine="640" w:firstLineChars="200"/>
      </w:pPr>
      <w:r>
        <w:rPr>
          <w:rFonts w:hint="eastAsia" w:ascii="仿宋_GB2312" w:hAnsi="仿宋_GB2312" w:eastAsia="仿宋_GB2312" w:cs="仿宋_GB2312"/>
          <w:sz w:val="32"/>
          <w:szCs w:val="32"/>
        </w:rPr>
        <w:t>8.承办县委、县政府交办的其他事项。</w:t>
      </w:r>
    </w:p>
    <w:p>
      <w:pPr>
        <w:numPr>
          <w:ilvl w:val="0"/>
          <w:numId w:val="2"/>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adjustRightInd w:val="0"/>
        <w:snapToGrid w:val="0"/>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泸县司法局是一级预算单位，属行政单位，下属二级单位3个，</w:t>
      </w:r>
      <w:r>
        <w:rPr>
          <w:rFonts w:hint="eastAsia" w:ascii="仿宋_GB2312" w:hAnsi="仿宋_GB2312" w:eastAsia="仿宋_GB2312" w:cs="仿宋_GB2312"/>
          <w:kern w:val="0"/>
          <w:sz w:val="32"/>
          <w:szCs w:val="32"/>
        </w:rPr>
        <w:t>其中：参公管理事业单位1个，事业单位2个。</w:t>
      </w:r>
    </w:p>
    <w:p>
      <w:pPr>
        <w:adjustRightInd w:val="0"/>
        <w:snapToGrid w:val="0"/>
        <w:spacing w:line="578" w:lineRule="exact"/>
        <w:ind w:firstLine="640" w:firstLineChars="200"/>
      </w:pPr>
      <w:r>
        <w:rPr>
          <w:rFonts w:hint="eastAsia" w:ascii="仿宋_GB2312" w:hAnsi="仿宋_GB2312" w:eastAsia="仿宋_GB2312" w:cs="仿宋_GB2312"/>
          <w:sz w:val="32"/>
          <w:szCs w:val="32"/>
        </w:rPr>
        <w:t>泸县司法局核定总编制6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名，其中：行政编制46名，参公编制10名，事业编制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名，工勤编制3名。在职人员总数6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人，其中：行政人员4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人，参公人员10人，事业人员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人，工勤人员3人；退休人员1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r>
        <w:rPr>
          <w:rFonts w:ascii="Times New Roman" w:hAnsi="Times New Roman" w:eastAsia="仿宋_GB2312"/>
          <w:color w:val="000000"/>
          <w:sz w:val="32"/>
          <w:szCs w:val="32"/>
        </w:rPr>
        <w:t>是用于</w:t>
      </w:r>
      <w:r>
        <w:rPr>
          <w:rFonts w:hint="eastAsia" w:ascii="仿宋_GB2312" w:hAnsi="仿宋_GB2312" w:eastAsia="仿宋_GB2312" w:cs="仿宋_GB2312"/>
          <w:color w:val="000000"/>
          <w:sz w:val="32"/>
          <w:szCs w:val="32"/>
          <w:shd w:val="clear" w:color="auto" w:fill="FFFFFF"/>
        </w:rPr>
        <w:t>办公费、印刷费、手续费、水费、电费、邮电费、差旅费、维修费、会议费、</w:t>
      </w:r>
      <w:r>
        <w:rPr>
          <w:rFonts w:hint="eastAsia" w:ascii="仿宋_GB2312" w:hAnsi="仿宋_GB2312" w:eastAsia="仿宋_GB2312" w:cs="仿宋_GB2312"/>
          <w:color w:val="000000"/>
          <w:sz w:val="32"/>
          <w:szCs w:val="32"/>
          <w:shd w:val="clear" w:color="auto" w:fill="FFFFFF"/>
          <w:lang w:eastAsia="zh-CN"/>
        </w:rPr>
        <w:t>公务接待费、</w:t>
      </w:r>
      <w:r>
        <w:rPr>
          <w:rFonts w:hint="eastAsia" w:ascii="仿宋_GB2312" w:hAnsi="仿宋_GB2312" w:eastAsia="仿宋_GB2312" w:cs="仿宋_GB2312"/>
          <w:color w:val="000000"/>
          <w:sz w:val="32"/>
          <w:szCs w:val="32"/>
          <w:shd w:val="clear" w:color="auto" w:fill="FFFFFF"/>
        </w:rPr>
        <w:t>劳务费、公务用车运行维护费、工会经费、福利费、其他交通费</w:t>
      </w:r>
      <w:r>
        <w:rPr>
          <w:rFonts w:ascii="Times New Roman" w:hAnsi="Times New Roman" w:eastAsia="仿宋_GB2312"/>
          <w:color w:val="000000"/>
          <w:sz w:val="32"/>
          <w:szCs w:val="32"/>
        </w:rPr>
        <w:t>等日常公用支出。</w:t>
      </w:r>
    </w:p>
    <w:p>
      <w:pPr>
        <w:spacing w:line="578"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ascii="Times New Roman" w:hAnsi="Times New Roman" w:eastAsia="仿宋_GB2312" w:cs="Times New Roman"/>
          <w:color w:val="000000"/>
          <w:sz w:val="32"/>
          <w:szCs w:val="32"/>
        </w:rPr>
        <w:t>项目支出，</w:t>
      </w:r>
      <w:r>
        <w:rPr>
          <w:rFonts w:ascii="Times New Roman" w:hAnsi="Times New Roman" w:eastAsia="仿宋_GB2312"/>
          <w:color w:val="000000"/>
          <w:sz w:val="32"/>
          <w:szCs w:val="32"/>
        </w:rPr>
        <w:t>主要包括：</w:t>
      </w:r>
      <w:r>
        <w:rPr>
          <w:rFonts w:hint="eastAsia" w:ascii="Times New Roman" w:hAnsi="Times New Roman" w:eastAsia="微软雅黑"/>
          <w:color w:val="000000"/>
          <w:sz w:val="32"/>
          <w:szCs w:val="32"/>
          <w:shd w:val="clear" w:color="auto" w:fill="FFFFFF"/>
          <w:lang w:val="en-US" w:eastAsia="zh-CN"/>
        </w:rPr>
        <w:t>1</w:t>
      </w:r>
      <w:r>
        <w:rPr>
          <w:rFonts w:hint="eastAsia" w:ascii="Times New Roman" w:hAnsi="Times New Roman" w:eastAsia="微软雅黑"/>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专职人民调解员补贴经费120万元</w:t>
      </w:r>
      <w:r>
        <w:rPr>
          <w:rFonts w:ascii="仿宋_GB2312" w:hAnsi="仿宋_GB2312" w:eastAsia="仿宋_GB2312" w:cs="仿宋_GB2312"/>
          <w:color w:val="000000"/>
          <w:sz w:val="32"/>
          <w:szCs w:val="32"/>
          <w:shd w:val="clear" w:color="auto" w:fill="FFFFFF"/>
        </w:rPr>
        <w:t>；</w:t>
      </w:r>
      <w:r>
        <w:rPr>
          <w:rFonts w:hint="eastAsia" w:ascii="Times New Roman" w:hAnsi="Times New Roman" w:eastAsia="微软雅黑"/>
          <w:color w:val="000000"/>
          <w:sz w:val="32"/>
          <w:szCs w:val="32"/>
          <w:shd w:val="clear" w:color="auto" w:fill="FFFFFF"/>
          <w:lang w:val="en-US" w:eastAsia="zh-CN"/>
        </w:rPr>
        <w:t>2</w:t>
      </w:r>
      <w:r>
        <w:rPr>
          <w:rFonts w:hint="eastAsia" w:ascii="Times New Roman" w:hAnsi="Times New Roman" w:eastAsia="微软雅黑"/>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政府采购项目10</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法治政府建设12</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、法律援助</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、法律顾问及诉讼代理费、刑释解教人员过渡性最低生活补助10万元。</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168.75</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286.98</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58.80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111.33</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167</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66.66</w:t>
      </w:r>
      <w:r>
        <w:rPr>
          <w:rFonts w:ascii="Times New Roman" w:hAnsi="Times New Roman" w:eastAsia="仿宋_GB2312" w:cs="Times New Roman"/>
          <w:color w:val="000000"/>
          <w:sz w:val="32"/>
          <w:szCs w:val="32"/>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pPr>
        <w:spacing w:line="578"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县级财政年初预算安排</w:t>
      </w:r>
      <w:r>
        <w:rPr>
          <w:rFonts w:hint="eastAsia" w:ascii="仿宋_GB2312" w:hAnsi="仿宋_GB2312" w:eastAsia="仿宋_GB2312" w:cs="仿宋_GB2312"/>
          <w:color w:val="000000"/>
          <w:sz w:val="32"/>
          <w:szCs w:val="32"/>
          <w:shd w:val="clear" w:color="auto" w:fill="FFFFFF"/>
        </w:rPr>
        <w:t>公用经费</w:t>
      </w:r>
      <w:r>
        <w:rPr>
          <w:rFonts w:hint="eastAsia" w:ascii="Times New Roman" w:hAnsi="Times New Roman" w:eastAsia="仿宋_GB2312" w:cs="Times New Roman"/>
          <w:color w:val="000000"/>
          <w:sz w:val="32"/>
          <w:szCs w:val="32"/>
          <w:lang w:val="en-US" w:eastAsia="zh-CN"/>
        </w:rPr>
        <w:t>286.98</w:t>
      </w:r>
      <w:r>
        <w:rPr>
          <w:rFonts w:hint="eastAsia" w:ascii="仿宋_GB2312" w:hAnsi="仿宋_GB2312" w:eastAsia="仿宋_GB2312" w:cs="仿宋_GB2312"/>
          <w:color w:val="000000"/>
          <w:sz w:val="32"/>
          <w:szCs w:val="32"/>
          <w:shd w:val="clear" w:color="auto" w:fill="FFFFFF"/>
        </w:rPr>
        <w:t>万元，1-8月</w:t>
      </w:r>
      <w:r>
        <w:rPr>
          <w:rFonts w:ascii="Times New Roman" w:hAnsi="Times New Roman" w:eastAsia="仿宋_GB2312"/>
          <w:color w:val="000000"/>
          <w:sz w:val="32"/>
          <w:szCs w:val="32"/>
        </w:rPr>
        <w:t>根据单位需要追加</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共计</w:t>
      </w:r>
      <w:r>
        <w:rPr>
          <w:rFonts w:hint="eastAsia" w:ascii="Times New Roman" w:hAnsi="Times New Roman" w:eastAsia="仿宋_GB2312" w:cs="Times New Roman"/>
          <w:color w:val="000000"/>
          <w:sz w:val="32"/>
          <w:szCs w:val="32"/>
          <w:lang w:val="en-US" w:eastAsia="zh-CN"/>
        </w:rPr>
        <w:t>286.98</w:t>
      </w:r>
      <w:r>
        <w:rPr>
          <w:rFonts w:ascii="Times New Roman" w:hAnsi="Times New Roman" w:eastAsia="仿宋_GB2312"/>
          <w:color w:val="000000"/>
          <w:sz w:val="32"/>
          <w:szCs w:val="32"/>
        </w:rPr>
        <w:t>万元</w:t>
      </w:r>
      <w:r>
        <w:rPr>
          <w:rFonts w:hint="eastAsia" w:ascii="仿宋_GB2312" w:hAnsi="仿宋_GB2312" w:eastAsia="仿宋_GB2312" w:cs="仿宋_GB2312"/>
          <w:color w:val="000000"/>
          <w:sz w:val="32"/>
          <w:szCs w:val="32"/>
          <w:shd w:val="clear" w:color="auto" w:fill="FFFFFF"/>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167</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167</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项目资金财政全部落实到位。</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shd w:val="clear" w:color="auto" w:fill="FFFFFF"/>
        </w:rPr>
        <w:t>专职人民调解员补贴经费120万元</w:t>
      </w:r>
      <w:r>
        <w:rPr>
          <w:rFonts w:ascii="Times New Roman" w:hAnsi="Times New Roman" w:eastAsia="仿宋_GB2312" w:cs="Times New Roman"/>
          <w:color w:val="000000"/>
          <w:sz w:val="32"/>
          <w:szCs w:val="32"/>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主要用于</w:t>
      </w:r>
      <w:r>
        <w:rPr>
          <w:rFonts w:ascii="仿宋_GB2312" w:hAnsi="仿宋_GB2312" w:eastAsia="仿宋_GB2312" w:cs="仿宋_GB2312"/>
          <w:color w:val="000000"/>
          <w:sz w:val="32"/>
          <w:szCs w:val="32"/>
          <w:shd w:val="clear" w:color="auto" w:fill="FFFFFF"/>
        </w:rPr>
        <w:t>支付</w:t>
      </w:r>
      <w:r>
        <w:rPr>
          <w:rFonts w:hint="eastAsia" w:ascii="仿宋_GB2312" w:hAnsi="仿宋_GB2312" w:eastAsia="仿宋_GB2312" w:cs="仿宋_GB2312"/>
          <w:color w:val="000000"/>
          <w:sz w:val="32"/>
          <w:szCs w:val="32"/>
          <w:shd w:val="clear" w:color="auto" w:fill="FFFFFF"/>
        </w:rPr>
        <w:t>专职人民调解员补贴经费</w:t>
      </w:r>
      <w:r>
        <w:rPr>
          <w:rFonts w:ascii="Times New Roman" w:hAnsi="Times New Roman" w:eastAsia="仿宋_GB2312" w:cs="Times New Roman"/>
          <w:color w:val="000000"/>
          <w:sz w:val="32"/>
          <w:szCs w:val="32"/>
        </w:rPr>
        <w:t>。</w:t>
      </w:r>
    </w:p>
    <w:p>
      <w:pPr>
        <w:numPr>
          <w:ilvl w:val="0"/>
          <w:numId w:val="3"/>
        </w:numPr>
        <w:spacing w:line="578" w:lineRule="exact"/>
        <w:ind w:firstLine="640" w:firstLineChars="200"/>
        <w:jc w:val="left"/>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lang w:val="en-US" w:eastAsia="zh-CN"/>
        </w:rPr>
        <w:t>政府采购项目经费10</w:t>
      </w:r>
      <w:r>
        <w:rPr>
          <w:rFonts w:hint="eastAsia" w:ascii="仿宋_GB2312" w:hAnsi="仿宋_GB2312" w:eastAsia="仿宋_GB2312" w:cs="仿宋_GB2312"/>
          <w:color w:val="000000"/>
          <w:sz w:val="32"/>
          <w:szCs w:val="32"/>
          <w:shd w:val="clear" w:color="auto" w:fill="FFFFFF"/>
        </w:rPr>
        <w:t>万元</w:t>
      </w:r>
      <w:r>
        <w:rPr>
          <w:rFonts w:ascii="Times New Roman" w:hAnsi="Times New Roman" w:eastAsia="仿宋_GB2312" w:cs="Times New Roman"/>
          <w:color w:val="000000"/>
          <w:sz w:val="32"/>
          <w:szCs w:val="32"/>
        </w:rPr>
        <w:t>；</w:t>
      </w:r>
    </w:p>
    <w:p>
      <w:pPr>
        <w:numPr>
          <w:numId w:val="0"/>
        </w:numPr>
        <w:spacing w:line="578" w:lineRule="exact"/>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支付政府采购。</w:t>
      </w:r>
    </w:p>
    <w:p>
      <w:pPr>
        <w:spacing w:line="578" w:lineRule="exact"/>
        <w:ind w:firstLine="320" w:firstLineChars="1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shd w:val="clear" w:color="auto" w:fill="FFFFFF"/>
          <w:lang w:val="en-US" w:eastAsia="zh-CN"/>
        </w:rPr>
        <w:t>法治政府建设经费12</w:t>
      </w:r>
      <w:r>
        <w:rPr>
          <w:rFonts w:hint="eastAsia" w:ascii="仿宋_GB2312" w:hAnsi="仿宋_GB2312" w:eastAsia="仿宋_GB2312" w:cs="仿宋_GB2312"/>
          <w:color w:val="000000"/>
          <w:sz w:val="32"/>
          <w:szCs w:val="32"/>
          <w:shd w:val="clear" w:color="auto" w:fill="FFFFFF"/>
        </w:rPr>
        <w:t>万元</w:t>
      </w:r>
      <w:r>
        <w:rPr>
          <w:rFonts w:ascii="Times New Roman" w:hAnsi="Times New Roman" w:eastAsia="仿宋_GB2312" w:cs="Times New Roman"/>
          <w:color w:val="000000"/>
          <w:sz w:val="32"/>
          <w:szCs w:val="32"/>
        </w:rPr>
        <w:t>；</w:t>
      </w:r>
    </w:p>
    <w:p>
      <w:pPr>
        <w:spacing w:line="578" w:lineRule="exact"/>
        <w:ind w:firstLine="320" w:firstLineChars="1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用于支付</w:t>
      </w:r>
      <w:r>
        <w:rPr>
          <w:rFonts w:hint="eastAsia" w:ascii="仿宋_GB2312" w:hAnsi="仿宋_GB2312" w:eastAsia="仿宋_GB2312" w:cs="仿宋_GB2312"/>
          <w:color w:val="000000"/>
          <w:sz w:val="32"/>
          <w:szCs w:val="32"/>
          <w:shd w:val="clear" w:color="auto" w:fill="FFFFFF"/>
          <w:lang w:val="en-US" w:eastAsia="zh-CN"/>
        </w:rPr>
        <w:t>法治政府建设相关</w:t>
      </w:r>
      <w:r>
        <w:rPr>
          <w:rFonts w:ascii="Times New Roman" w:hAnsi="Times New Roman" w:eastAsia="仿宋_GB2312" w:cs="Times New Roman"/>
          <w:color w:val="000000"/>
          <w:sz w:val="32"/>
          <w:szCs w:val="32"/>
        </w:rPr>
        <w:t>费用。</w:t>
      </w:r>
    </w:p>
    <w:p>
      <w:pPr>
        <w:spacing w:line="578" w:lineRule="exact"/>
        <w:ind w:firstLine="320" w:firstLineChars="1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shd w:val="clear" w:color="auto" w:fill="FFFFFF"/>
        </w:rPr>
        <w:t>法律援助</w:t>
      </w:r>
      <w:r>
        <w:rPr>
          <w:rFonts w:hint="eastAsia" w:ascii="仿宋_GB2312" w:hAnsi="仿宋_GB2312" w:eastAsia="仿宋_GB2312" w:cs="仿宋_GB2312"/>
          <w:color w:val="000000"/>
          <w:sz w:val="32"/>
          <w:szCs w:val="32"/>
          <w:shd w:val="clear" w:color="auto" w:fill="FFFFFF"/>
          <w:lang w:val="en-US" w:eastAsia="zh-CN"/>
        </w:rPr>
        <w:t>经费15</w:t>
      </w:r>
      <w:r>
        <w:rPr>
          <w:rFonts w:hint="eastAsia" w:ascii="仿宋_GB2312" w:hAnsi="仿宋_GB2312" w:eastAsia="仿宋_GB2312" w:cs="仿宋_GB2312"/>
          <w:color w:val="000000"/>
          <w:sz w:val="32"/>
          <w:szCs w:val="32"/>
          <w:shd w:val="clear" w:color="auto" w:fill="FFFFFF"/>
        </w:rPr>
        <w:t>万元</w:t>
      </w:r>
      <w:r>
        <w:rPr>
          <w:rFonts w:ascii="Times New Roman" w:hAnsi="Times New Roman" w:eastAsia="仿宋_GB2312" w:cs="Times New Roman"/>
          <w:color w:val="000000"/>
          <w:sz w:val="32"/>
          <w:szCs w:val="32"/>
        </w:rPr>
        <w:t>；</w:t>
      </w:r>
    </w:p>
    <w:p>
      <w:pPr>
        <w:tabs>
          <w:tab w:val="left" w:pos="630"/>
        </w:tabs>
        <w:spacing w:line="578" w:lineRule="exact"/>
        <w:ind w:firstLine="320" w:firstLineChars="1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用于支付</w:t>
      </w:r>
      <w:r>
        <w:rPr>
          <w:rFonts w:hint="eastAsia" w:ascii="仿宋_GB2312" w:hAnsi="仿宋_GB2312" w:eastAsia="仿宋_GB2312" w:cs="仿宋_GB2312"/>
          <w:color w:val="000000"/>
          <w:sz w:val="32"/>
          <w:szCs w:val="32"/>
          <w:shd w:val="clear" w:color="auto" w:fill="FFFFFF"/>
        </w:rPr>
        <w:t>律师参与化解和代理涉法涉诉信访案件工作经费等法律援助</w:t>
      </w:r>
      <w:r>
        <w:rPr>
          <w:rFonts w:ascii="仿宋_GB2312" w:hAnsi="仿宋_GB2312" w:eastAsia="仿宋_GB2312" w:cs="仿宋_GB2312"/>
          <w:color w:val="000000"/>
          <w:sz w:val="32"/>
          <w:szCs w:val="32"/>
          <w:shd w:val="clear" w:color="auto" w:fill="FFFFFF"/>
        </w:rPr>
        <w:t>费用</w:t>
      </w:r>
      <w:r>
        <w:rPr>
          <w:rFonts w:ascii="Times New Roman" w:hAnsi="Times New Roman" w:eastAsia="仿宋_GB2312" w:cs="Times New Roman"/>
          <w:color w:val="000000"/>
          <w:sz w:val="32"/>
          <w:szCs w:val="32"/>
        </w:rPr>
        <w:t>。</w:t>
      </w:r>
    </w:p>
    <w:p>
      <w:pPr>
        <w:spacing w:line="578" w:lineRule="exact"/>
        <w:ind w:firstLine="320" w:firstLineChars="1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shd w:val="clear" w:color="auto" w:fill="FFFFFF"/>
        </w:rPr>
        <w:t>法律顾问及诉讼代理费、刑释解教人员过渡性最低生活补助</w:t>
      </w:r>
      <w:r>
        <w:rPr>
          <w:rFonts w:hint="eastAsia" w:ascii="仿宋_GB2312" w:hAnsi="仿宋_GB2312" w:eastAsia="仿宋_GB2312" w:cs="仿宋_GB2312"/>
          <w:color w:val="000000"/>
          <w:sz w:val="32"/>
          <w:szCs w:val="32"/>
          <w:shd w:val="clear" w:color="auto" w:fill="FFFFFF"/>
          <w:lang w:val="en-US" w:eastAsia="zh-CN"/>
        </w:rPr>
        <w:t>经费</w:t>
      </w:r>
      <w:r>
        <w:rPr>
          <w:rFonts w:hint="eastAsia" w:ascii="仿宋_GB2312" w:hAnsi="仿宋_GB2312" w:eastAsia="仿宋_GB2312" w:cs="仿宋_GB2312"/>
          <w:color w:val="000000"/>
          <w:sz w:val="32"/>
          <w:szCs w:val="32"/>
          <w:shd w:val="clear" w:color="auto" w:fill="FFFFFF"/>
        </w:rPr>
        <w:t>10万元</w:t>
      </w:r>
      <w:r>
        <w:rPr>
          <w:rFonts w:ascii="Times New Roman" w:hAnsi="Times New Roman" w:eastAsia="仿宋_GB2312" w:cs="Times New Roman"/>
          <w:color w:val="000000"/>
          <w:sz w:val="32"/>
          <w:szCs w:val="32"/>
        </w:rPr>
        <w:t>；</w:t>
      </w:r>
    </w:p>
    <w:p>
      <w:pPr>
        <w:spacing w:line="578" w:lineRule="exact"/>
        <w:ind w:firstLine="320" w:firstLineChars="100"/>
        <w:jc w:val="left"/>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用于支付</w:t>
      </w:r>
      <w:r>
        <w:rPr>
          <w:rFonts w:hint="eastAsia" w:ascii="仿宋_GB2312" w:hAnsi="仿宋_GB2312" w:eastAsia="仿宋_GB2312" w:cs="仿宋_GB2312"/>
          <w:color w:val="000000"/>
          <w:sz w:val="32"/>
          <w:szCs w:val="32"/>
          <w:shd w:val="clear" w:color="auto" w:fill="FFFFFF"/>
        </w:rPr>
        <w:t>法制办法律顾问费、诉讼案件代理费及其他法治业务经费</w:t>
      </w:r>
      <w:r>
        <w:rPr>
          <w:rFonts w:hint="eastAsia" w:ascii="仿宋_GB2312" w:hAnsi="仿宋_GB2312" w:eastAsia="仿宋_GB2312" w:cs="仿宋_GB2312"/>
          <w:color w:val="000000"/>
          <w:sz w:val="32"/>
          <w:szCs w:val="32"/>
          <w:shd w:val="clear" w:color="auto" w:fill="FFFFFF"/>
          <w:lang w:val="en-US" w:eastAsia="zh-CN"/>
        </w:rPr>
        <w:t>和</w:t>
      </w:r>
      <w:r>
        <w:rPr>
          <w:rFonts w:hint="eastAsia" w:ascii="仿宋_GB2312" w:hAnsi="仿宋_GB2312" w:eastAsia="仿宋_GB2312" w:cs="仿宋_GB2312"/>
          <w:color w:val="000000"/>
          <w:sz w:val="32"/>
          <w:szCs w:val="32"/>
          <w:shd w:val="clear" w:color="auto" w:fill="FFFFFF"/>
        </w:rPr>
        <w:t>刑释解教人员过渡性最低生活补助等基层司法业务经费</w:t>
      </w:r>
      <w:r>
        <w:rPr>
          <w:rFonts w:ascii="Times New Roman" w:hAnsi="Times New Roman" w:eastAsia="仿宋_GB2312" w:cs="Times New Roman"/>
          <w:color w:val="000000"/>
          <w:sz w:val="32"/>
          <w:szCs w:val="32"/>
        </w:rPr>
        <w:t>。</w:t>
      </w:r>
    </w:p>
    <w:p>
      <w:pPr>
        <w:spacing w:line="578" w:lineRule="exact"/>
        <w:ind w:firstLine="320" w:firstLineChars="1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总体而言，我局预算绩效目标任务稳步推进。</w:t>
      </w:r>
    </w:p>
    <w:p>
      <w:pPr>
        <w:spacing w:line="578" w:lineRule="exact"/>
        <w:jc w:val="left"/>
        <w:rPr>
          <w:rFonts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四、运行监控分析</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pPr>
        <w:spacing w:line="578" w:lineRule="exact"/>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1582.56</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1582.56</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pPr>
        <w:spacing w:line="578" w:lineRule="exact"/>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1582.56</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1415.56</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167</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pPr>
        <w:spacing w:line="578" w:lineRule="exact"/>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事业支出预计执行0元，执行率0%；</w:t>
      </w:r>
    </w:p>
    <w:p>
      <w:pPr>
        <w:spacing w:line="578" w:lineRule="exact"/>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其他支出预计执行0元，执行率0%；</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pPr>
        <w:spacing w:line="578" w:lineRule="exact"/>
        <w:ind w:firstLine="640" w:firstLineChars="200"/>
        <w:jc w:val="left"/>
        <w:rPr>
          <w:rFonts w:hint="eastAsia"/>
        </w:rPr>
      </w:pPr>
      <w:r>
        <w:rPr>
          <w:rFonts w:hint="eastAsia" w:ascii="仿宋_GB2312" w:hAnsi="仿宋_GB2312" w:eastAsia="仿宋_GB2312" w:cs="仿宋_GB2312"/>
          <w:color w:val="333333"/>
          <w:sz w:val="32"/>
          <w:szCs w:val="32"/>
          <w:shd w:val="clear" w:color="auto" w:fill="FFFFFF"/>
        </w:rPr>
        <w:t>泸县司法局按照国家有关财经法规内容，收入、支出全部纳入本单位财务部门法定账目统一核算，遵循先有预算、后有支出的原则，确保预算编制完整，执行经费预算和资产配置标准严格。202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年，结合各级工作要求，预计全年的绩效目标任务都能够按照年初制定的计划和指标全部完成，部门支出绩效和项目支出绩效都能按照年初制订的目标</w:t>
      </w:r>
      <w:r>
        <w:rPr>
          <w:rFonts w:hint="eastAsia" w:ascii="仿宋_GB2312" w:hAnsi="仿宋_GB2312" w:eastAsia="仿宋_GB2312" w:cs="仿宋_GB2312"/>
          <w:color w:val="333333"/>
          <w:sz w:val="32"/>
          <w:szCs w:val="32"/>
          <w:shd w:val="clear" w:color="auto" w:fill="FFFFFF"/>
          <w:lang w:val="en-US" w:eastAsia="zh-CN"/>
        </w:rPr>
        <w:t>任务完成。</w:t>
      </w:r>
      <w:bookmarkStart w:id="0" w:name="_GoBack"/>
      <w:bookmarkEnd w:id="0"/>
    </w:p>
    <w:p>
      <w:pPr>
        <w:spacing w:line="578" w:lineRule="exact"/>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w:t>
      </w:r>
    </w:p>
    <w:p>
      <w:pPr>
        <w:pStyle w:val="2"/>
        <w:rPr>
          <w:rFonts w:hint="eastAsia" w:ascii="Times New Roman" w:hAnsi="Times New Roman" w:eastAsia="仿宋_GB2312"/>
          <w:color w:val="000000"/>
          <w:sz w:val="32"/>
          <w:szCs w:val="32"/>
        </w:rPr>
      </w:pPr>
    </w:p>
    <w:p>
      <w:pPr>
        <w:pStyle w:val="2"/>
        <w:rPr>
          <w:rFonts w:hint="eastAsia" w:ascii="Times New Roman" w:hAnsi="Times New Roman" w:eastAsia="仿宋_GB2312"/>
          <w:color w:val="000000"/>
          <w:sz w:val="32"/>
          <w:szCs w:val="32"/>
        </w:rPr>
      </w:pPr>
    </w:p>
    <w:p>
      <w:pPr>
        <w:pStyle w:val="2"/>
        <w:rPr>
          <w:rFonts w:hint="eastAsia" w:ascii="Times New Roman" w:hAnsi="Times New Roman" w:eastAsia="仿宋_GB2312"/>
          <w:color w:val="000000"/>
          <w:sz w:val="32"/>
          <w:szCs w:val="32"/>
        </w:rPr>
      </w:pPr>
    </w:p>
    <w:p>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r>
        <w:rPr>
          <w:rFonts w:hint="eastAsia" w:ascii="仿宋_GB2312" w:hAnsi="仿宋_GB2312" w:eastAsia="仿宋_GB2312" w:cs="仿宋_GB2312"/>
          <w:color w:val="333333"/>
          <w:sz w:val="32"/>
          <w:szCs w:val="32"/>
          <w:shd w:val="clear" w:color="auto" w:fill="FFFFFF"/>
        </w:rPr>
        <w:t>泸县司法</w:t>
      </w:r>
      <w:r>
        <w:rPr>
          <w:rFonts w:ascii="仿宋_GB2312" w:hAnsi="仿宋_GB2312" w:eastAsia="仿宋_GB2312" w:cs="仿宋_GB2312"/>
          <w:color w:val="333333"/>
          <w:sz w:val="32"/>
          <w:szCs w:val="32"/>
          <w:shd w:val="clear" w:color="auto" w:fill="FFFFFF"/>
        </w:rPr>
        <w:t>局</w:t>
      </w:r>
      <w:r>
        <w:rPr>
          <w:rFonts w:hint="eastAsia" w:ascii="微软雅黑" w:hAnsi="微软雅黑" w:eastAsia="微软雅黑" w:cs="微软雅黑"/>
          <w:color w:val="333333"/>
          <w:sz w:val="27"/>
          <w:szCs w:val="27"/>
          <w:shd w:val="clear" w:color="auto" w:fill="FFFFFF"/>
        </w:rPr>
        <w:t xml:space="preserve">                                                 </w:t>
      </w:r>
    </w:p>
    <w:p>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26</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方正黑体_GBK">
    <w:altName w:val="黑体"/>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宋体S-超大字符集">
    <w:altName w:val="宋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7339946">
    <w:nsid w:val="66F51DAA"/>
    <w:multiLevelType w:val="singleLevel"/>
    <w:tmpl w:val="66F51DAA"/>
    <w:lvl w:ilvl="0" w:tentative="1">
      <w:start w:val="2"/>
      <w:numFmt w:val="chineseCounting"/>
      <w:suff w:val="nothing"/>
      <w:lvlText w:val="%1、"/>
      <w:lvlJc w:val="left"/>
    </w:lvl>
  </w:abstractNum>
  <w:abstractNum w:abstractNumId="1727339542">
    <w:nsid w:val="66F51C16"/>
    <w:multiLevelType w:val="singleLevel"/>
    <w:tmpl w:val="66F51C16"/>
    <w:lvl w:ilvl="0" w:tentative="1">
      <w:start w:val="1"/>
      <w:numFmt w:val="chineseCounting"/>
      <w:suff w:val="nothing"/>
      <w:lvlText w:val="%1、"/>
      <w:lvlJc w:val="left"/>
    </w:lvl>
  </w:abstractNum>
  <w:abstractNum w:abstractNumId="1727401337">
    <w:nsid w:val="66F60D79"/>
    <w:multiLevelType w:val="singleLevel"/>
    <w:tmpl w:val="66F60D79"/>
    <w:lvl w:ilvl="0" w:tentative="1">
      <w:start w:val="2"/>
      <w:numFmt w:val="decimal"/>
      <w:suff w:val="nothing"/>
      <w:lvlText w:val="（%1）"/>
      <w:lvlJc w:val="left"/>
    </w:lvl>
  </w:abstractNum>
  <w:num w:numId="1">
    <w:abstractNumId w:val="1727339542"/>
  </w:num>
  <w:num w:numId="2">
    <w:abstractNumId w:val="1727339946"/>
  </w:num>
  <w:num w:numId="3">
    <w:abstractNumId w:val="17274013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paragraph" w:styleId="2">
    <w:name w:val="footer"/>
    <w:basedOn w:val="1"/>
    <w:qFormat/>
    <w:uiPriority w:val="0"/>
    <w:pPr>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703</Characters>
  <Lines>5</Lines>
  <Paragraphs>1</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123</cp:lastModifiedBy>
  <cp:lastPrinted>2024-09-05T04:03:00Z</cp:lastPrinted>
  <dcterms:modified xsi:type="dcterms:W3CDTF">2024-09-27T01:43:51Z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8AD479BFABCC490FAEC2A397678BD27A</vt:lpwstr>
  </property>
</Properties>
</file>